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6D27" w14:textId="397B472D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 w:hint="eastAsia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3E33DA">
        <w:rPr>
          <w:rFonts w:ascii="Arial" w:hAnsi="Arial" w:cs="Arial"/>
          <w:b/>
          <w:sz w:val="32"/>
          <w:szCs w:val="32"/>
          <w:lang w:eastAsia="zh-CN"/>
        </w:rPr>
        <w:t>Tdoc R2-17</w:t>
      </w:r>
      <w:r w:rsidR="00126945">
        <w:rPr>
          <w:rFonts w:ascii="Arial" w:hAnsi="Arial" w:cs="Arial"/>
          <w:b/>
          <w:sz w:val="32"/>
          <w:szCs w:val="32"/>
          <w:lang w:eastAsia="zh-CN"/>
        </w:rPr>
        <w:t>1</w:t>
      </w:r>
      <w:r w:rsidR="00316B9C">
        <w:rPr>
          <w:rFonts w:ascii="Arial" w:hAnsi="Arial" w:cs="Arial"/>
          <w:b/>
          <w:sz w:val="32"/>
          <w:szCs w:val="32"/>
          <w:lang w:eastAsia="zh-CN"/>
        </w:rPr>
        <w:t>4129</w:t>
      </w:r>
    </w:p>
    <w:p w14:paraId="34DB01EE" w14:textId="49AD11E2"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  <w:r>
        <w:rPr>
          <w:rFonts w:cs="Arial"/>
          <w:szCs w:val="24"/>
        </w:rPr>
        <w:t xml:space="preserve"> </w:t>
      </w:r>
    </w:p>
    <w:p w14:paraId="1BF47D6F" w14:textId="113AADE3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E7F80">
        <w:rPr>
          <w:rFonts w:ascii="Arial" w:hAnsi="Arial" w:cs="Arial"/>
        </w:rPr>
        <w:t xml:space="preserve">TDM pattern coordination for single UL </w:t>
      </w:r>
      <w:r w:rsidR="00752CC9">
        <w:rPr>
          <w:rFonts w:ascii="Arial" w:hAnsi="Arial" w:cs="Arial"/>
        </w:rPr>
        <w:t>operation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67F6B0C" w:rsidR="00D5390B" w:rsidRPr="00316B9C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316B9C">
        <w:rPr>
          <w:rFonts w:ascii="Arial" w:hAnsi="Arial" w:cs="Arial"/>
          <w:bCs/>
          <w:lang w:val="en-US"/>
        </w:rPr>
        <w:t>RAN2</w:t>
      </w:r>
    </w:p>
    <w:p w14:paraId="2B104F3D" w14:textId="7EFBCBA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958DB">
        <w:rPr>
          <w:rFonts w:ascii="Arial" w:hAnsi="Arial" w:cs="Arial"/>
          <w:bCs/>
        </w:rPr>
        <w:t>RAN3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031532C5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7F80">
        <w:rPr>
          <w:rFonts w:cs="Arial"/>
          <w:b w:val="0"/>
          <w:bCs/>
        </w:rPr>
        <w:t>Haijing Hu</w:t>
      </w:r>
    </w:p>
    <w:p w14:paraId="41119DE4" w14:textId="426D14A1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</w:t>
      </w:r>
      <w:r w:rsidR="00EE7F80">
        <w:rPr>
          <w:rFonts w:ascii="Arial" w:hAnsi="Arial" w:cs="Arial"/>
          <w:bCs/>
        </w:rPr>
        <w:t>86 18612683085</w:t>
      </w:r>
    </w:p>
    <w:p w14:paraId="5BE3074C" w14:textId="0E019F32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E7F80">
        <w:rPr>
          <w:rFonts w:cs="Arial"/>
          <w:b w:val="0"/>
          <w:bCs/>
        </w:rPr>
        <w:t>haijing_hu@apple.com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BCECE4" w14:textId="57B17864" w:rsidR="00C428D0" w:rsidRPr="003A4945" w:rsidRDefault="00081213" w:rsidP="00F0244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RAN2 has discussed TDM pattern</w:t>
      </w:r>
      <w:r w:rsidR="002C6EB6">
        <w:rPr>
          <w:rFonts w:ascii="Arial" w:hAnsi="Arial" w:cs="Arial"/>
        </w:rPr>
        <w:t xml:space="preserve"> coordination for single UL </w:t>
      </w:r>
      <w:r w:rsidR="00752CC9">
        <w:rPr>
          <w:rFonts w:ascii="Arial" w:hAnsi="Arial" w:cs="Arial"/>
        </w:rPr>
        <w:t>operation for EN-DC</w:t>
      </w:r>
      <w:r w:rsidR="002C6EB6">
        <w:rPr>
          <w:rFonts w:ascii="Arial" w:hAnsi="Arial" w:cs="Arial"/>
        </w:rPr>
        <w:t xml:space="preserve">. </w:t>
      </w:r>
      <w:r w:rsidR="00752CC9">
        <w:rPr>
          <w:rFonts w:ascii="Arial" w:hAnsi="Arial" w:cs="Arial"/>
        </w:rPr>
        <w:t xml:space="preserve">As conclusion, </w:t>
      </w:r>
      <w:r w:rsidR="002C6EB6">
        <w:rPr>
          <w:rFonts w:ascii="Arial" w:hAnsi="Arial" w:cs="Arial"/>
        </w:rPr>
        <w:t>RAN2 assume</w:t>
      </w:r>
      <w:r w:rsidR="00752CC9">
        <w:rPr>
          <w:rFonts w:ascii="Arial" w:hAnsi="Arial" w:cs="Arial"/>
        </w:rPr>
        <w:t>s</w:t>
      </w:r>
      <w:r w:rsidR="002C6EB6">
        <w:rPr>
          <w:rFonts w:ascii="Arial" w:hAnsi="Arial" w:cs="Arial"/>
        </w:rPr>
        <w:t xml:space="preserve"> that RAN3 will progress the topic of TDM pattern coordination </w:t>
      </w:r>
      <w:r w:rsidR="009840C7">
        <w:rPr>
          <w:rFonts w:ascii="Arial" w:hAnsi="Arial" w:cs="Arial"/>
        </w:rPr>
        <w:t xml:space="preserve">for </w:t>
      </w:r>
      <w:r w:rsidR="00752CC9">
        <w:rPr>
          <w:rFonts w:ascii="Arial" w:hAnsi="Arial" w:cs="Arial"/>
        </w:rPr>
        <w:t>single UL operation</w:t>
      </w:r>
      <w:r w:rsidR="009840C7">
        <w:rPr>
          <w:rFonts w:ascii="Arial" w:hAnsi="Arial" w:cs="Arial"/>
        </w:rPr>
        <w:t xml:space="preserve">. </w:t>
      </w:r>
      <w:r w:rsidR="000E235B">
        <w:rPr>
          <w:rFonts w:ascii="Arial" w:hAnsi="Arial" w:cs="Arial"/>
        </w:rPr>
        <w:t xml:space="preserve">RAN2 </w:t>
      </w:r>
      <w:r w:rsidR="00752CC9">
        <w:rPr>
          <w:rFonts w:ascii="Arial" w:hAnsi="Arial" w:cs="Arial"/>
        </w:rPr>
        <w:t xml:space="preserve">also </w:t>
      </w:r>
      <w:r w:rsidR="00CE0E80">
        <w:rPr>
          <w:rFonts w:ascii="Arial" w:hAnsi="Arial" w:cs="Arial"/>
        </w:rPr>
        <w:t xml:space="preserve">suggests to </w:t>
      </w:r>
      <w:r w:rsidR="00090210">
        <w:rPr>
          <w:rFonts w:ascii="Arial" w:hAnsi="Arial" w:cs="Arial"/>
        </w:rPr>
        <w:t xml:space="preserve">RAN3 that </w:t>
      </w:r>
      <w:r w:rsidR="000E235B">
        <w:rPr>
          <w:rFonts w:ascii="Arial" w:hAnsi="Arial" w:cs="Arial"/>
        </w:rPr>
        <w:t>t</w:t>
      </w:r>
      <w:r w:rsidR="009840C7">
        <w:rPr>
          <w:rFonts w:ascii="Arial" w:hAnsi="Arial" w:cs="Arial"/>
        </w:rPr>
        <w:t xml:space="preserve">he TDM pattern for single UL </w:t>
      </w:r>
      <w:r w:rsidR="00752CC9">
        <w:rPr>
          <w:rFonts w:ascii="Arial" w:hAnsi="Arial" w:cs="Arial"/>
        </w:rPr>
        <w:t>operation</w:t>
      </w:r>
      <w:r w:rsidR="009840C7">
        <w:rPr>
          <w:rFonts w:ascii="Arial" w:hAnsi="Arial" w:cs="Arial"/>
        </w:rPr>
        <w:t xml:space="preserve"> </w:t>
      </w:r>
      <w:r w:rsidR="00752CC9">
        <w:rPr>
          <w:rFonts w:ascii="Arial" w:hAnsi="Arial" w:cs="Arial"/>
        </w:rPr>
        <w:t xml:space="preserve">is realized </w:t>
      </w:r>
      <w:r w:rsidR="00CE0E80">
        <w:rPr>
          <w:rFonts w:ascii="Arial" w:hAnsi="Arial" w:cs="Arial"/>
        </w:rPr>
        <w:t xml:space="preserve">with </w:t>
      </w:r>
      <w:r w:rsidR="009840C7">
        <w:rPr>
          <w:rFonts w:ascii="Arial" w:hAnsi="Arial" w:cs="Arial"/>
        </w:rPr>
        <w:t xml:space="preserve">a BITMAP with </w:t>
      </w:r>
      <w:r w:rsidR="00CE0E80">
        <w:rPr>
          <w:rFonts w:ascii="Arial" w:hAnsi="Arial" w:cs="Arial"/>
        </w:rPr>
        <w:t>40ms</w:t>
      </w:r>
      <w:r w:rsidR="009840C7">
        <w:rPr>
          <w:rFonts w:ascii="Arial" w:hAnsi="Arial" w:cs="Arial"/>
        </w:rPr>
        <w:t xml:space="preserve"> </w:t>
      </w:r>
      <w:r w:rsidR="00525011">
        <w:rPr>
          <w:rFonts w:ascii="Arial" w:hAnsi="Arial" w:cs="Arial"/>
        </w:rPr>
        <w:t xml:space="preserve">periodicity </w:t>
      </w:r>
      <w:r w:rsidR="009840C7">
        <w:rPr>
          <w:rFonts w:ascii="Arial" w:hAnsi="Arial" w:cs="Arial"/>
        </w:rPr>
        <w:t>and 1ms subframe granularity</w:t>
      </w:r>
      <w:r w:rsidR="0006406F">
        <w:rPr>
          <w:rFonts w:ascii="Arial" w:hAnsi="Arial" w:cs="Arial"/>
        </w:rPr>
        <w:t>, which applies to both case 1 and case</w:t>
      </w:r>
      <w:r w:rsidR="0011437C">
        <w:rPr>
          <w:rFonts w:ascii="Arial" w:hAnsi="Arial" w:cs="Arial"/>
        </w:rPr>
        <w:t xml:space="preserve"> 2</w:t>
      </w:r>
      <w:r w:rsidR="009840C7">
        <w:rPr>
          <w:rFonts w:ascii="Arial" w:hAnsi="Arial" w:cs="Arial"/>
        </w:rPr>
        <w:t xml:space="preserve">. </w:t>
      </w:r>
      <w:r w:rsidR="00C428D0">
        <w:rPr>
          <w:rFonts w:ascii="Arial" w:hAnsi="Arial" w:cs="Arial"/>
        </w:rPr>
        <w:t xml:space="preserve">It </w:t>
      </w:r>
      <w:r w:rsidR="00C428D0">
        <w:rPr>
          <w:rFonts w:ascii="Arial" w:hAnsi="Arial" w:cs="Arial" w:hint="eastAsia"/>
          <w:lang w:eastAsia="zh-CN"/>
        </w:rPr>
        <w:t>is</w:t>
      </w:r>
      <w:r w:rsidR="00C428D0">
        <w:rPr>
          <w:rFonts w:ascii="Arial" w:hAnsi="Arial" w:cs="Arial"/>
          <w:lang w:val="en-US" w:eastAsia="zh-CN"/>
        </w:rPr>
        <w:t xml:space="preserve"> up to RAN3 to define the signaling and whether the same mechanism is used to address the harmonic issue.</w:t>
      </w:r>
    </w:p>
    <w:p w14:paraId="4EC882BC" w14:textId="77777777" w:rsidR="00CE0E80" w:rsidRDefault="00CE0E80" w:rsidP="00F0244B">
      <w:pPr>
        <w:rPr>
          <w:rFonts w:ascii="Arial" w:hAnsi="Arial" w:cs="Arial"/>
        </w:rPr>
      </w:pPr>
    </w:p>
    <w:p w14:paraId="5C6D7500" w14:textId="264D6AE3" w:rsidR="0011437C" w:rsidRDefault="0011437C" w:rsidP="0011437C">
      <w:pPr>
        <w:jc w:val="both"/>
      </w:pPr>
      <w:r w:rsidRPr="0011437C">
        <w:rPr>
          <w:rFonts w:ascii="Arial" w:hAnsi="Arial" w:cs="Arial"/>
        </w:rPr>
        <w:t xml:space="preserve">Case 1 and case 2 can be </w:t>
      </w:r>
      <w:r w:rsidR="0010112E">
        <w:rPr>
          <w:rFonts w:ascii="Arial" w:hAnsi="Arial" w:cs="Arial"/>
        </w:rPr>
        <w:t>referred</w:t>
      </w:r>
      <w:r w:rsidRPr="0011437C">
        <w:rPr>
          <w:rFonts w:ascii="Arial" w:hAnsi="Arial" w:cs="Arial"/>
        </w:rPr>
        <w:t xml:space="preserve"> </w:t>
      </w:r>
      <w:r w:rsidR="0010112E">
        <w:rPr>
          <w:rFonts w:ascii="Arial" w:hAnsi="Arial" w:cs="Arial"/>
        </w:rPr>
        <w:t>to</w:t>
      </w:r>
      <w:r w:rsidRPr="0011437C">
        <w:rPr>
          <w:rFonts w:ascii="Arial" w:hAnsi="Arial" w:cs="Arial"/>
        </w:rPr>
        <w:t xml:space="preserve"> the following RAN1 agreements made in RAN1#90.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11437C" w14:paraId="6E360829" w14:textId="77777777" w:rsidTr="00D778C9">
        <w:tc>
          <w:tcPr>
            <w:tcW w:w="9629" w:type="dxa"/>
            <w:shd w:val="clear" w:color="auto" w:fill="F2F2F2" w:themeFill="background1" w:themeFillShade="F2"/>
          </w:tcPr>
          <w:p w14:paraId="6E2E7416" w14:textId="77777777" w:rsidR="0011437C" w:rsidRPr="0083388C" w:rsidRDefault="0011437C" w:rsidP="00D778C9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When the UE is 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14:paraId="07287033" w14:textId="77777777" w:rsidR="0011437C" w:rsidRPr="0083388C" w:rsidRDefault="0011437C" w:rsidP="00D778C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can be configured with </w:t>
            </w:r>
          </w:p>
          <w:p w14:paraId="3564FFE9" w14:textId="77777777" w:rsidR="0011437C" w:rsidRPr="0083388C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1C78BE">
              <w:rPr>
                <w:rFonts w:ascii="Times New Roman" w:eastAsia="MS Mincho" w:hAnsi="Times New Roman"/>
                <w:highlight w:val="yellow"/>
              </w:rPr>
              <w:t>Case 1:</w:t>
            </w:r>
            <w:r w:rsidRPr="0083388C">
              <w:rPr>
                <w:rFonts w:ascii="Times New Roman" w:eastAsia="MS Mincho" w:hAnsi="Times New Roman"/>
              </w:rPr>
              <w:t xml:space="preserve"> DL-reference UL/DL configuration defined for LTE-FDD-SCell in LTE-TDD-FDD CA with LTE-TDD-PCell </w:t>
            </w:r>
          </w:p>
          <w:p w14:paraId="7EBA6E00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For scheduling/HARQ timing of LTE FDD carrier, DL-reference UL/DL configuration defined for LTE-FDD-SCell in LTE-TDD-FDD CA with LTE-TDD-PCell is applied</w:t>
            </w:r>
          </w:p>
          <w:p w14:paraId="511AE677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UE is allowed to transmit NR UL signals at least in the subframe(s) where LTE UL transmission is not allowed according to the DL-reference UL/DL configuration</w:t>
            </w:r>
          </w:p>
          <w:p w14:paraId="100855CD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FFS whether or not a UE-specific subframe offset for the DL-reference UL/</w:t>
            </w:r>
            <w:r w:rsidRPr="00CC5A90">
              <w:rPr>
                <w:rFonts w:ascii="Times New Roman" w:eastAsia="MS Mincho" w:hAnsi="Times New Roman"/>
              </w:rPr>
              <w:t>DL configuration can be configured considering system resource utilization and potential spec impact</w:t>
            </w:r>
          </w:p>
          <w:p w14:paraId="2AD04289" w14:textId="77777777" w:rsidR="0011437C" w:rsidRPr="00CC5A90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1C78BE">
              <w:rPr>
                <w:rFonts w:ascii="Times New Roman" w:eastAsia="MS Mincho" w:hAnsi="Times New Roman"/>
                <w:highlight w:val="yellow"/>
              </w:rPr>
              <w:t>Case 2:</w:t>
            </w:r>
            <w:r w:rsidRPr="00CC5A90">
              <w:rPr>
                <w:rFonts w:ascii="Times New Roman" w:eastAsia="MS Mincho" w:hAnsi="Times New Roman"/>
              </w:rPr>
              <w:t xml:space="preserve"> Release 15 LTE-FDD HARQ timing</w:t>
            </w:r>
          </w:p>
          <w:p w14:paraId="129549EE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CC5A90">
              <w:rPr>
                <w:rFonts w:ascii="Times New Roman" w:eastAsia="MS Mincho" w:hAnsi="Times New Roman"/>
              </w:rPr>
              <w:t>No impact on LTE RAN1 specifications</w:t>
            </w:r>
          </w:p>
          <w:p w14:paraId="0441DFDE" w14:textId="77777777" w:rsidR="0011437C" w:rsidRPr="00E659C7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CC5A90">
              <w:rPr>
                <w:rFonts w:ascii="Times New Roman" w:eastAsia="MS Mincho" w:hAnsi="Times New Roman"/>
              </w:rPr>
              <w:t>Note: it doesn’t</w:t>
            </w:r>
            <w:r w:rsidRPr="0083388C">
              <w:rPr>
                <w:rFonts w:ascii="Times New Roman" w:eastAsia="MS Mincho" w:hAnsi="Times New Roman"/>
              </w:rPr>
              <w:t xml:space="preserve"> necessarily imply that UE has to support both cases</w:t>
            </w:r>
          </w:p>
        </w:tc>
      </w:tr>
    </w:tbl>
    <w:p w14:paraId="29E3F5CC" w14:textId="77777777" w:rsidR="0011437C" w:rsidRDefault="0011437C" w:rsidP="0011437C">
      <w:pPr>
        <w:jc w:val="both"/>
      </w:pPr>
    </w:p>
    <w:p w14:paraId="62257A39" w14:textId="18A6B886" w:rsidR="008D5FA9" w:rsidRDefault="008D5FA9">
      <w:pPr>
        <w:rPr>
          <w:rFonts w:ascii="Arial" w:hAnsi="Arial" w:cs="Arial"/>
          <w:lang w:val="en-US"/>
        </w:rPr>
      </w:pPr>
    </w:p>
    <w:p w14:paraId="298E2C5D" w14:textId="77777777" w:rsidR="0011437C" w:rsidRPr="00F0244B" w:rsidRDefault="0011437C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AD78825" w:rsidR="00D5390B" w:rsidRPr="00DC1C28" w:rsidRDefault="003A1B8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325D2E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</w:t>
      </w:r>
      <w:r w:rsidR="00DC1C28">
        <w:rPr>
          <w:rFonts w:ascii="Arial" w:hAnsi="Arial" w:cs="Arial"/>
          <w:b/>
          <w:lang w:val="en-US"/>
        </w:rPr>
        <w:t>:</w:t>
      </w:r>
    </w:p>
    <w:p w14:paraId="4044D78B" w14:textId="73AA4021" w:rsidR="00325D2E" w:rsidRDefault="00325D2E">
      <w:pPr>
        <w:spacing w:after="120"/>
        <w:ind w:left="993" w:hanging="993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RAN2 kindly </w:t>
      </w:r>
      <w:r w:rsidR="00126945">
        <w:rPr>
          <w:rFonts w:ascii="Arial" w:hAnsi="Arial" w:cs="Arial"/>
          <w:b/>
        </w:rPr>
        <w:t>requests</w:t>
      </w:r>
      <w:r>
        <w:rPr>
          <w:rFonts w:ascii="Arial" w:hAnsi="Arial" w:cs="Arial"/>
          <w:b/>
        </w:rPr>
        <w:t xml:space="preserve"> RAN3 to take above into account when designing the related signalling</w:t>
      </w:r>
      <w:r w:rsidR="00752CC9">
        <w:rPr>
          <w:rFonts w:ascii="Arial" w:hAnsi="Arial" w:cs="Arial"/>
          <w:b/>
        </w:rPr>
        <w:t xml:space="preserve"> for TDM pattern coordination</w:t>
      </w:r>
      <w:r>
        <w:rPr>
          <w:rFonts w:ascii="Arial" w:hAnsi="Arial" w:cs="Arial"/>
          <w:b/>
        </w:rPr>
        <w:t xml:space="preserve">. </w:t>
      </w:r>
    </w:p>
    <w:p w14:paraId="50449780" w14:textId="77777777" w:rsidR="00D5390B" w:rsidRDefault="00D5390B" w:rsidP="00325D2E">
      <w:pPr>
        <w:spacing w:after="120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1D41B95" w14:textId="4E271452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</w:t>
      </w:r>
      <w:r w:rsidR="00F855AF">
        <w:rPr>
          <w:rFonts w:ascii="Arial" w:hAnsi="Arial" w:cs="Arial"/>
          <w:bCs/>
        </w:rPr>
        <w:t>2</w:t>
      </w:r>
      <w:r w:rsidR="00F174EB">
        <w:rPr>
          <w:rFonts w:ascii="Arial" w:hAnsi="Arial" w:cs="Arial" w:hint="eastAsia"/>
          <w:bCs/>
        </w:rPr>
        <w:t>#</w:t>
      </w:r>
      <w:r w:rsidRPr="00A7496D">
        <w:rPr>
          <w:rFonts w:ascii="Arial" w:hAnsi="Arial" w:cs="Arial"/>
          <w:bCs/>
        </w:rPr>
        <w:t>NR Ad hoc</w:t>
      </w:r>
      <w:r w:rsidR="00F855AF">
        <w:rPr>
          <w:rFonts w:ascii="Arial" w:hAnsi="Arial" w:cs="Arial" w:hint="eastAsia"/>
          <w:bCs/>
        </w:rPr>
        <w:t>-1801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Pr="00A7496D">
        <w:rPr>
          <w:rFonts w:ascii="Arial" w:hAnsi="Arial" w:cs="Arial"/>
          <w:bCs/>
        </w:rPr>
        <w:t>Vancouver, Canada</w:t>
      </w:r>
    </w:p>
    <w:p w14:paraId="4B209A71" w14:textId="345FFC17" w:rsidR="00F815AA" w:rsidRPr="00E82FFD" w:rsidRDefault="00F855AF" w:rsidP="00E82F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5138F2" w:rsidRPr="00A7496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="005138F2" w:rsidRPr="00A7496D">
        <w:rPr>
          <w:rFonts w:ascii="Arial" w:hAnsi="Arial" w:cs="Arial"/>
          <w:bCs/>
        </w:rPr>
        <w:tab/>
        <w:t>26</w:t>
      </w:r>
      <w:r w:rsidR="005138F2" w:rsidRPr="00A7496D">
        <w:rPr>
          <w:rFonts w:ascii="Arial" w:hAnsi="Arial" w:cs="Arial"/>
          <w:bCs/>
          <w:vertAlign w:val="superscript"/>
        </w:rPr>
        <w:t>th</w:t>
      </w:r>
      <w:r w:rsidR="005138F2" w:rsidRPr="00A7496D">
        <w:rPr>
          <w:rFonts w:ascii="Arial" w:hAnsi="Arial" w:cs="Arial"/>
          <w:bCs/>
        </w:rPr>
        <w:t xml:space="preserve"> February – 2</w:t>
      </w:r>
      <w:r w:rsidR="005138F2" w:rsidRPr="00A7496D">
        <w:rPr>
          <w:rFonts w:ascii="Arial" w:hAnsi="Arial" w:cs="Arial"/>
          <w:bCs/>
          <w:vertAlign w:val="superscript"/>
        </w:rPr>
        <w:t>nd</w:t>
      </w:r>
      <w:r w:rsidR="005138F2" w:rsidRPr="00A7496D">
        <w:rPr>
          <w:rFonts w:ascii="Arial" w:hAnsi="Arial" w:cs="Arial"/>
          <w:bCs/>
        </w:rPr>
        <w:t xml:space="preserve"> March 2018</w:t>
      </w:r>
      <w:r w:rsidR="005138F2"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="005138F2" w:rsidRPr="00A7496D">
        <w:rPr>
          <w:rFonts w:ascii="Arial" w:hAnsi="Arial" w:cs="Arial"/>
          <w:bCs/>
        </w:rPr>
        <w:t>Athens, Greece</w:t>
      </w:r>
      <w:bookmarkStart w:id="0" w:name="_GoBack"/>
      <w:bookmarkEnd w:id="0"/>
    </w:p>
    <w:sectPr w:rsidR="00F815AA" w:rsidRPr="00E82F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009B2" w14:textId="77777777" w:rsidR="00447BAE" w:rsidRDefault="00447BAE">
      <w:r>
        <w:separator/>
      </w:r>
    </w:p>
  </w:endnote>
  <w:endnote w:type="continuationSeparator" w:id="0">
    <w:p w14:paraId="7DA9D73C" w14:textId="77777777" w:rsidR="00447BAE" w:rsidRDefault="00447BAE">
      <w:r>
        <w:continuationSeparator/>
      </w:r>
    </w:p>
  </w:endnote>
  <w:endnote w:type="continuationNotice" w:id="1">
    <w:p w14:paraId="2D3D41E3" w14:textId="77777777" w:rsidR="00447BAE" w:rsidRDefault="00447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E92BF" w14:textId="77777777" w:rsidR="00447BAE" w:rsidRDefault="00447BAE">
      <w:r>
        <w:separator/>
      </w:r>
    </w:p>
  </w:footnote>
  <w:footnote w:type="continuationSeparator" w:id="0">
    <w:p w14:paraId="2A6719BE" w14:textId="77777777" w:rsidR="00447BAE" w:rsidRDefault="00447BAE">
      <w:r>
        <w:continuationSeparator/>
      </w:r>
    </w:p>
  </w:footnote>
  <w:footnote w:type="continuationNotice" w:id="1">
    <w:p w14:paraId="2AB31BBC" w14:textId="77777777" w:rsidR="00447BAE" w:rsidRDefault="00447BAE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8"/>
    <w:rsid w:val="00037DC7"/>
    <w:rsid w:val="0006406F"/>
    <w:rsid w:val="00081213"/>
    <w:rsid w:val="000820DB"/>
    <w:rsid w:val="00090210"/>
    <w:rsid w:val="000E235B"/>
    <w:rsid w:val="000F2076"/>
    <w:rsid w:val="0010112E"/>
    <w:rsid w:val="0011065A"/>
    <w:rsid w:val="0011437C"/>
    <w:rsid w:val="00126945"/>
    <w:rsid w:val="0013166B"/>
    <w:rsid w:val="00140C61"/>
    <w:rsid w:val="0014382D"/>
    <w:rsid w:val="001676C5"/>
    <w:rsid w:val="00172188"/>
    <w:rsid w:val="001C78BE"/>
    <w:rsid w:val="001F0C6F"/>
    <w:rsid w:val="00244285"/>
    <w:rsid w:val="002C6EB6"/>
    <w:rsid w:val="002D0D0C"/>
    <w:rsid w:val="002F4B38"/>
    <w:rsid w:val="00316B9C"/>
    <w:rsid w:val="00325D2E"/>
    <w:rsid w:val="00332D10"/>
    <w:rsid w:val="003776E2"/>
    <w:rsid w:val="00385549"/>
    <w:rsid w:val="00385854"/>
    <w:rsid w:val="00395913"/>
    <w:rsid w:val="003A1B8F"/>
    <w:rsid w:val="003A4945"/>
    <w:rsid w:val="003E0050"/>
    <w:rsid w:val="004077D1"/>
    <w:rsid w:val="00422377"/>
    <w:rsid w:val="00432926"/>
    <w:rsid w:val="00447BAE"/>
    <w:rsid w:val="00473CCF"/>
    <w:rsid w:val="004D1479"/>
    <w:rsid w:val="004D4B8B"/>
    <w:rsid w:val="005138F2"/>
    <w:rsid w:val="00525011"/>
    <w:rsid w:val="005775CF"/>
    <w:rsid w:val="005B5996"/>
    <w:rsid w:val="005F5F3D"/>
    <w:rsid w:val="0060300F"/>
    <w:rsid w:val="006828D9"/>
    <w:rsid w:val="00693629"/>
    <w:rsid w:val="006B424C"/>
    <w:rsid w:val="006C3547"/>
    <w:rsid w:val="0074478A"/>
    <w:rsid w:val="00752CC9"/>
    <w:rsid w:val="007651FE"/>
    <w:rsid w:val="00774321"/>
    <w:rsid w:val="007A71BE"/>
    <w:rsid w:val="008125E9"/>
    <w:rsid w:val="0083700A"/>
    <w:rsid w:val="0087733A"/>
    <w:rsid w:val="0088327B"/>
    <w:rsid w:val="008B1072"/>
    <w:rsid w:val="008D5FA9"/>
    <w:rsid w:val="008F33CD"/>
    <w:rsid w:val="00950C0E"/>
    <w:rsid w:val="00977F3E"/>
    <w:rsid w:val="009840C7"/>
    <w:rsid w:val="00991703"/>
    <w:rsid w:val="009D3FAB"/>
    <w:rsid w:val="009F52BD"/>
    <w:rsid w:val="00A5768D"/>
    <w:rsid w:val="00A8336C"/>
    <w:rsid w:val="00A9752D"/>
    <w:rsid w:val="00AA1596"/>
    <w:rsid w:val="00AA34C3"/>
    <w:rsid w:val="00AC0390"/>
    <w:rsid w:val="00AE1358"/>
    <w:rsid w:val="00AE350F"/>
    <w:rsid w:val="00BE3EDA"/>
    <w:rsid w:val="00C13783"/>
    <w:rsid w:val="00C428D0"/>
    <w:rsid w:val="00C87838"/>
    <w:rsid w:val="00C958DB"/>
    <w:rsid w:val="00CA5BB8"/>
    <w:rsid w:val="00CE0E80"/>
    <w:rsid w:val="00D02481"/>
    <w:rsid w:val="00D45636"/>
    <w:rsid w:val="00D5390B"/>
    <w:rsid w:val="00D56A50"/>
    <w:rsid w:val="00D819A5"/>
    <w:rsid w:val="00DA27A7"/>
    <w:rsid w:val="00DA2B82"/>
    <w:rsid w:val="00DC1C28"/>
    <w:rsid w:val="00DE673F"/>
    <w:rsid w:val="00E0794B"/>
    <w:rsid w:val="00E6176E"/>
    <w:rsid w:val="00E65024"/>
    <w:rsid w:val="00E804CC"/>
    <w:rsid w:val="00E82FFD"/>
    <w:rsid w:val="00E85BE4"/>
    <w:rsid w:val="00EA25B2"/>
    <w:rsid w:val="00EB2E48"/>
    <w:rsid w:val="00EE7F80"/>
    <w:rsid w:val="00F0244B"/>
    <w:rsid w:val="00F174EB"/>
    <w:rsid w:val="00F23F1E"/>
    <w:rsid w:val="00F619BE"/>
    <w:rsid w:val="00F74F3F"/>
    <w:rsid w:val="00F815AA"/>
    <w:rsid w:val="00F855AF"/>
    <w:rsid w:val="00FB2FE8"/>
    <w:rsid w:val="00FD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107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1072"/>
    <w:rPr>
      <w:sz w:val="24"/>
      <w:szCs w:val="24"/>
      <w:lang w:val="en-GB" w:eastAsia="en-US"/>
    </w:rPr>
  </w:style>
  <w:style w:type="table" w:styleId="TableGrid">
    <w:name w:val="Table Grid"/>
    <w:basedOn w:val="TableNormal"/>
    <w:rsid w:val="0011437C"/>
    <w:rPr>
      <w:rFonts w:ascii="CG Times (WN)" w:eastAsia="MS Mincho" w:hAnsi="CG Times (WN)"/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1437C"/>
    <w:pPr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1437C"/>
    <w:rPr>
      <w:rFonts w:ascii="Calibri" w:eastAsiaTheme="minorEastAsia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341</Words>
  <Characters>1946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Apple user</cp:lastModifiedBy>
  <cp:revision>17</cp:revision>
  <cp:lastPrinted>2002-04-23T07:10:00Z</cp:lastPrinted>
  <dcterms:created xsi:type="dcterms:W3CDTF">2017-11-28T20:55:00Z</dcterms:created>
  <dcterms:modified xsi:type="dcterms:W3CDTF">2017-11-29T04:28:00Z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